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FDA2" w14:textId="061BCA6D" w:rsidR="00B30121" w:rsidRDefault="00B30121"/>
    <w:p w14:paraId="253A1A85" w14:textId="77777777" w:rsidR="00422F3E" w:rsidRDefault="00422F3E"/>
    <w:p w14:paraId="76E8CA0E" w14:textId="77777777" w:rsidR="00422F3E" w:rsidRDefault="00422F3E"/>
    <w:p w14:paraId="082C0558" w14:textId="0CED849E" w:rsidR="00BD7C77" w:rsidRPr="00BD7C77" w:rsidRDefault="00422F3E" w:rsidP="00BD7C77">
      <w:pPr>
        <w:rPr>
          <w:b/>
          <w:bCs/>
          <w:sz w:val="32"/>
          <w:szCs w:val="32"/>
        </w:rPr>
      </w:pPr>
      <w:r w:rsidRPr="00BD7C77">
        <w:rPr>
          <w:b/>
          <w:bCs/>
          <w:sz w:val="32"/>
          <w:szCs w:val="32"/>
        </w:rPr>
        <w:t>Marketing Policy</w:t>
      </w:r>
    </w:p>
    <w:p w14:paraId="1FDCB53F" w14:textId="0C2BF1F2" w:rsidR="00BD7C77" w:rsidRPr="00BD7C77" w:rsidRDefault="00BD7C77" w:rsidP="00BD7C77">
      <w:pPr>
        <w:spacing w:after="0"/>
        <w:rPr>
          <w:b/>
          <w:bCs/>
          <w:sz w:val="22"/>
          <w:szCs w:val="22"/>
        </w:rPr>
      </w:pPr>
      <w:r>
        <w:rPr>
          <w:b/>
          <w:bCs/>
          <w:sz w:val="22"/>
          <w:szCs w:val="22"/>
        </w:rPr>
        <w:t>Introduction</w:t>
      </w:r>
    </w:p>
    <w:p w14:paraId="27F5007C" w14:textId="77777777" w:rsidR="00BD7C77" w:rsidRPr="00BD7C77" w:rsidRDefault="00BD7C77" w:rsidP="00A64978">
      <w:pPr>
        <w:spacing w:after="0"/>
        <w:rPr>
          <w:sz w:val="22"/>
          <w:szCs w:val="22"/>
        </w:rPr>
      </w:pPr>
      <w:r w:rsidRPr="00BD7C77">
        <w:rPr>
          <w:sz w:val="22"/>
          <w:szCs w:val="22"/>
        </w:rPr>
        <w:t>This policy outlines how Wilbar and its partners will communicate and campaign in support of our core purpose. It ensures that all marketing activity is carried out responsibly, legally, and in ways that strengthen public trust, raise awareness of our services, and support the needs of local communities.</w:t>
      </w:r>
    </w:p>
    <w:p w14:paraId="5E9B9F89" w14:textId="77777777" w:rsidR="00BD7C77" w:rsidRDefault="00BD7C77" w:rsidP="00A64978">
      <w:pPr>
        <w:spacing w:after="0"/>
        <w:rPr>
          <w:b/>
          <w:bCs/>
          <w:sz w:val="22"/>
          <w:szCs w:val="22"/>
        </w:rPr>
      </w:pPr>
    </w:p>
    <w:p w14:paraId="3437918F" w14:textId="7D2063A5" w:rsidR="00A64978" w:rsidRPr="00BD7C77" w:rsidRDefault="00A64978" w:rsidP="00A64978">
      <w:pPr>
        <w:spacing w:after="0"/>
        <w:rPr>
          <w:b/>
          <w:bCs/>
          <w:sz w:val="22"/>
          <w:szCs w:val="22"/>
        </w:rPr>
      </w:pPr>
      <w:r w:rsidRPr="00BD7C77">
        <w:rPr>
          <w:b/>
          <w:bCs/>
          <w:sz w:val="22"/>
          <w:szCs w:val="22"/>
        </w:rPr>
        <w:t>Legal Framework</w:t>
      </w:r>
    </w:p>
    <w:p w14:paraId="52D7DB89" w14:textId="24AED4AD" w:rsidR="00A64978" w:rsidRPr="00A64978" w:rsidRDefault="00A64978" w:rsidP="00A64978">
      <w:pPr>
        <w:spacing w:after="0"/>
        <w:rPr>
          <w:sz w:val="22"/>
          <w:szCs w:val="22"/>
        </w:rPr>
      </w:pPr>
      <w:r w:rsidRPr="00A64978">
        <w:rPr>
          <w:sz w:val="22"/>
          <w:szCs w:val="22"/>
        </w:rPr>
        <w:t>Wilbar</w:t>
      </w:r>
      <w:r w:rsidR="00AD7DF1">
        <w:rPr>
          <w:sz w:val="22"/>
          <w:szCs w:val="22"/>
        </w:rPr>
        <w:t xml:space="preserve"> Associates </w:t>
      </w:r>
      <w:r w:rsidRPr="00A64978">
        <w:rPr>
          <w:sz w:val="22"/>
          <w:szCs w:val="22"/>
        </w:rPr>
        <w:t>will comply with the following legislation and standards:</w:t>
      </w:r>
    </w:p>
    <w:p w14:paraId="3E0E06A3" w14:textId="4F6502E6" w:rsidR="00A64978" w:rsidRPr="00A64978" w:rsidRDefault="00A64978" w:rsidP="00A64978">
      <w:pPr>
        <w:numPr>
          <w:ilvl w:val="0"/>
          <w:numId w:val="1"/>
        </w:numPr>
        <w:spacing w:after="0"/>
        <w:rPr>
          <w:sz w:val="22"/>
          <w:szCs w:val="22"/>
        </w:rPr>
      </w:pPr>
      <w:r w:rsidRPr="00A64978">
        <w:rPr>
          <w:sz w:val="22"/>
          <w:szCs w:val="22"/>
        </w:rPr>
        <w:t>Data Protection Act</w:t>
      </w:r>
      <w:r w:rsidR="001B2810">
        <w:rPr>
          <w:sz w:val="22"/>
          <w:szCs w:val="22"/>
        </w:rPr>
        <w:t>,</w:t>
      </w:r>
      <w:r w:rsidRPr="00A64978">
        <w:rPr>
          <w:sz w:val="22"/>
          <w:szCs w:val="22"/>
        </w:rPr>
        <w:t xml:space="preserve"> 1998</w:t>
      </w:r>
    </w:p>
    <w:p w14:paraId="3B217C53" w14:textId="12FB590E" w:rsidR="00A64978" w:rsidRPr="00A64978" w:rsidRDefault="00A64978" w:rsidP="00A64978">
      <w:pPr>
        <w:numPr>
          <w:ilvl w:val="0"/>
          <w:numId w:val="1"/>
        </w:numPr>
        <w:spacing w:after="0"/>
        <w:rPr>
          <w:sz w:val="22"/>
          <w:szCs w:val="22"/>
        </w:rPr>
      </w:pPr>
      <w:r w:rsidRPr="00A64978">
        <w:rPr>
          <w:sz w:val="22"/>
          <w:szCs w:val="22"/>
        </w:rPr>
        <w:t>Consumer Protection from Unfair Trading Regulations</w:t>
      </w:r>
    </w:p>
    <w:p w14:paraId="0228B3DB" w14:textId="677826AD" w:rsidR="00A64978" w:rsidRDefault="00A64978" w:rsidP="00A64978">
      <w:pPr>
        <w:numPr>
          <w:ilvl w:val="0"/>
          <w:numId w:val="1"/>
        </w:numPr>
        <w:spacing w:after="0"/>
        <w:rPr>
          <w:sz w:val="22"/>
          <w:szCs w:val="22"/>
        </w:rPr>
      </w:pPr>
      <w:r w:rsidRPr="00A64978">
        <w:rPr>
          <w:sz w:val="22"/>
          <w:szCs w:val="22"/>
        </w:rPr>
        <w:t>Government advertising codes of practice</w:t>
      </w:r>
    </w:p>
    <w:p w14:paraId="05C86CD2" w14:textId="77777777" w:rsidR="00A64978" w:rsidRPr="00A64978" w:rsidRDefault="00A64978" w:rsidP="00A64978">
      <w:pPr>
        <w:spacing w:after="0"/>
        <w:rPr>
          <w:sz w:val="22"/>
          <w:szCs w:val="22"/>
        </w:rPr>
      </w:pPr>
    </w:p>
    <w:p w14:paraId="5AA4EA42" w14:textId="77777777" w:rsidR="00A64978" w:rsidRPr="00A64978" w:rsidRDefault="00A64978" w:rsidP="00A64978">
      <w:pPr>
        <w:spacing w:after="0"/>
        <w:rPr>
          <w:sz w:val="22"/>
          <w:szCs w:val="22"/>
        </w:rPr>
      </w:pPr>
      <w:r w:rsidRPr="00A64978">
        <w:rPr>
          <w:sz w:val="22"/>
          <w:szCs w:val="22"/>
        </w:rPr>
        <w:t>All marketing and advertising must be:</w:t>
      </w:r>
    </w:p>
    <w:p w14:paraId="03BBD88C" w14:textId="712D235E" w:rsidR="00A64978" w:rsidRPr="00A64978" w:rsidRDefault="00A64978" w:rsidP="00A64978">
      <w:pPr>
        <w:numPr>
          <w:ilvl w:val="0"/>
          <w:numId w:val="2"/>
        </w:numPr>
        <w:spacing w:after="0"/>
        <w:rPr>
          <w:sz w:val="22"/>
          <w:szCs w:val="22"/>
        </w:rPr>
      </w:pPr>
      <w:r w:rsidRPr="00A64978">
        <w:rPr>
          <w:sz w:val="22"/>
          <w:szCs w:val="22"/>
        </w:rPr>
        <w:t>Accurate, legal, decent, truthful and honest</w:t>
      </w:r>
    </w:p>
    <w:p w14:paraId="586F1BEB" w14:textId="77777777" w:rsidR="00A64978" w:rsidRPr="00A64978" w:rsidRDefault="00A64978" w:rsidP="00A64978">
      <w:pPr>
        <w:numPr>
          <w:ilvl w:val="0"/>
          <w:numId w:val="2"/>
        </w:numPr>
        <w:spacing w:after="0"/>
        <w:rPr>
          <w:sz w:val="22"/>
          <w:szCs w:val="22"/>
        </w:rPr>
      </w:pPr>
      <w:r w:rsidRPr="00A64978">
        <w:rPr>
          <w:sz w:val="22"/>
          <w:szCs w:val="22"/>
        </w:rPr>
        <w:t>Socially responsible and not encourage unsafe or anti-social behaviour</w:t>
      </w:r>
    </w:p>
    <w:p w14:paraId="5E935B5F" w14:textId="22F3EBC3" w:rsidR="00731B44" w:rsidRDefault="00A64978" w:rsidP="00731B44">
      <w:pPr>
        <w:spacing w:after="0"/>
        <w:rPr>
          <w:sz w:val="22"/>
          <w:szCs w:val="22"/>
        </w:rPr>
      </w:pPr>
      <w:r w:rsidRPr="00A64978">
        <w:rPr>
          <w:sz w:val="22"/>
          <w:szCs w:val="22"/>
        </w:rPr>
        <w:t>Products and services must always be described accurately.</w:t>
      </w:r>
    </w:p>
    <w:p w14:paraId="6B39124E" w14:textId="77777777" w:rsidR="00731B44" w:rsidRDefault="00731B44" w:rsidP="00731B44">
      <w:pPr>
        <w:spacing w:after="0"/>
        <w:rPr>
          <w:sz w:val="22"/>
          <w:szCs w:val="22"/>
        </w:rPr>
      </w:pPr>
    </w:p>
    <w:p w14:paraId="48450EC1" w14:textId="57A72AD8" w:rsidR="00731B44" w:rsidRPr="00BD7C77" w:rsidRDefault="00731B44" w:rsidP="00731B44">
      <w:pPr>
        <w:spacing w:after="0"/>
        <w:rPr>
          <w:b/>
          <w:bCs/>
          <w:sz w:val="22"/>
          <w:szCs w:val="22"/>
        </w:rPr>
      </w:pPr>
      <w:r w:rsidRPr="00BD7C77">
        <w:rPr>
          <w:b/>
          <w:bCs/>
          <w:sz w:val="22"/>
          <w:szCs w:val="22"/>
        </w:rPr>
        <w:t>Policy Statement</w:t>
      </w:r>
    </w:p>
    <w:p w14:paraId="1C53E09A" w14:textId="44D3209F" w:rsidR="00731B44" w:rsidRPr="00731B44" w:rsidRDefault="00731B44" w:rsidP="00731B44">
      <w:pPr>
        <w:spacing w:after="0"/>
        <w:rPr>
          <w:sz w:val="22"/>
          <w:szCs w:val="22"/>
        </w:rPr>
      </w:pPr>
      <w:r w:rsidRPr="00731B44">
        <w:rPr>
          <w:sz w:val="22"/>
          <w:szCs w:val="22"/>
        </w:rPr>
        <w:t xml:space="preserve">Wilbar </w:t>
      </w:r>
      <w:r>
        <w:rPr>
          <w:sz w:val="22"/>
          <w:szCs w:val="22"/>
        </w:rPr>
        <w:t>Associates</w:t>
      </w:r>
      <w:r w:rsidRPr="00731B44">
        <w:rPr>
          <w:sz w:val="22"/>
          <w:szCs w:val="22"/>
        </w:rPr>
        <w:t xml:space="preserve"> will maintain a sustainable marketing communications strategy that defines:</w:t>
      </w:r>
    </w:p>
    <w:p w14:paraId="58DC294B" w14:textId="77777777" w:rsidR="00731B44" w:rsidRPr="00731B44" w:rsidRDefault="00731B44" w:rsidP="00731B44">
      <w:pPr>
        <w:numPr>
          <w:ilvl w:val="0"/>
          <w:numId w:val="3"/>
        </w:numPr>
        <w:spacing w:after="0"/>
        <w:rPr>
          <w:sz w:val="22"/>
          <w:szCs w:val="22"/>
        </w:rPr>
      </w:pPr>
      <w:r w:rsidRPr="00731B44">
        <w:rPr>
          <w:sz w:val="22"/>
          <w:szCs w:val="22"/>
        </w:rPr>
        <w:t>Key objectives and messages</w:t>
      </w:r>
    </w:p>
    <w:p w14:paraId="112908AD" w14:textId="77777777" w:rsidR="00731B44" w:rsidRPr="00731B44" w:rsidRDefault="00731B44" w:rsidP="00731B44">
      <w:pPr>
        <w:numPr>
          <w:ilvl w:val="0"/>
          <w:numId w:val="3"/>
        </w:numPr>
        <w:spacing w:after="0"/>
        <w:rPr>
          <w:sz w:val="22"/>
          <w:szCs w:val="22"/>
        </w:rPr>
      </w:pPr>
      <w:r w:rsidRPr="00731B44">
        <w:rPr>
          <w:sz w:val="22"/>
          <w:szCs w:val="22"/>
        </w:rPr>
        <w:t>Methods, media, timelines, and budgets</w:t>
      </w:r>
    </w:p>
    <w:p w14:paraId="6E3E93EF" w14:textId="77777777" w:rsidR="00731B44" w:rsidRPr="00731B44" w:rsidRDefault="00731B44" w:rsidP="00731B44">
      <w:pPr>
        <w:numPr>
          <w:ilvl w:val="0"/>
          <w:numId w:val="3"/>
        </w:numPr>
        <w:spacing w:after="0"/>
        <w:rPr>
          <w:sz w:val="22"/>
          <w:szCs w:val="22"/>
        </w:rPr>
      </w:pPr>
      <w:r w:rsidRPr="00731B44">
        <w:rPr>
          <w:sz w:val="22"/>
          <w:szCs w:val="22"/>
        </w:rPr>
        <w:t>Systems for monitoring and evaluation</w:t>
      </w:r>
    </w:p>
    <w:p w14:paraId="71BE35C7" w14:textId="77777777" w:rsidR="00731B44" w:rsidRPr="00731B44" w:rsidRDefault="00731B44" w:rsidP="00731B44">
      <w:pPr>
        <w:spacing w:after="0"/>
        <w:rPr>
          <w:sz w:val="22"/>
          <w:szCs w:val="22"/>
        </w:rPr>
      </w:pPr>
      <w:r w:rsidRPr="00731B44">
        <w:rPr>
          <w:sz w:val="22"/>
          <w:szCs w:val="22"/>
        </w:rPr>
        <w:t>Campaigning may be undertaken to support Wilbar’s core purpose, such as:</w:t>
      </w:r>
    </w:p>
    <w:p w14:paraId="2921FA2C" w14:textId="77777777" w:rsidR="00731B44" w:rsidRPr="00731B44" w:rsidRDefault="00731B44" w:rsidP="00731B44">
      <w:pPr>
        <w:numPr>
          <w:ilvl w:val="0"/>
          <w:numId w:val="4"/>
        </w:numPr>
        <w:spacing w:after="0"/>
        <w:rPr>
          <w:sz w:val="22"/>
          <w:szCs w:val="22"/>
        </w:rPr>
      </w:pPr>
      <w:r w:rsidRPr="00731B44">
        <w:rPr>
          <w:sz w:val="22"/>
          <w:szCs w:val="22"/>
        </w:rPr>
        <w:t>Gathering public feedback on services</w:t>
      </w:r>
    </w:p>
    <w:p w14:paraId="17872C99" w14:textId="77777777" w:rsidR="00731B44" w:rsidRPr="00731B44" w:rsidRDefault="00731B44" w:rsidP="00731B44">
      <w:pPr>
        <w:numPr>
          <w:ilvl w:val="0"/>
          <w:numId w:val="4"/>
        </w:numPr>
        <w:spacing w:after="0"/>
        <w:rPr>
          <w:sz w:val="22"/>
          <w:szCs w:val="22"/>
        </w:rPr>
      </w:pPr>
      <w:r w:rsidRPr="00731B44">
        <w:rPr>
          <w:sz w:val="22"/>
          <w:szCs w:val="22"/>
        </w:rPr>
        <w:t>Representing these views to relevant authorities</w:t>
      </w:r>
    </w:p>
    <w:p w14:paraId="37C6AF6B" w14:textId="77777777" w:rsidR="00731B44" w:rsidRPr="00731B44" w:rsidRDefault="00731B44" w:rsidP="00731B44">
      <w:pPr>
        <w:numPr>
          <w:ilvl w:val="0"/>
          <w:numId w:val="4"/>
        </w:numPr>
        <w:spacing w:after="0"/>
        <w:rPr>
          <w:sz w:val="22"/>
          <w:szCs w:val="22"/>
        </w:rPr>
      </w:pPr>
      <w:r w:rsidRPr="00731B44">
        <w:rPr>
          <w:sz w:val="22"/>
          <w:szCs w:val="22"/>
        </w:rPr>
        <w:t>Promoting compliance with existing laws</w:t>
      </w:r>
    </w:p>
    <w:p w14:paraId="5C445A6F" w14:textId="77777777" w:rsidR="00731B44" w:rsidRPr="00731B44" w:rsidRDefault="00731B44" w:rsidP="00731B44">
      <w:pPr>
        <w:spacing w:after="0"/>
        <w:rPr>
          <w:sz w:val="22"/>
          <w:szCs w:val="22"/>
        </w:rPr>
      </w:pPr>
      <w:r w:rsidRPr="00731B44">
        <w:rPr>
          <w:sz w:val="22"/>
          <w:szCs w:val="22"/>
        </w:rPr>
        <w:t>Adherence to this policy ensures Wilbar remains a credible and trusted organisation.</w:t>
      </w:r>
    </w:p>
    <w:p w14:paraId="585EEAFC" w14:textId="29269594" w:rsidR="00731B44" w:rsidRDefault="00731B44" w:rsidP="00731B44">
      <w:pPr>
        <w:spacing w:after="0"/>
        <w:rPr>
          <w:sz w:val="22"/>
          <w:szCs w:val="22"/>
        </w:rPr>
      </w:pPr>
    </w:p>
    <w:p w14:paraId="5AACBEAC" w14:textId="79BCDE88" w:rsidR="00AD7DF1" w:rsidRPr="00BD7C77" w:rsidRDefault="00AD7DF1" w:rsidP="00AD7DF1">
      <w:pPr>
        <w:spacing w:after="0"/>
        <w:rPr>
          <w:b/>
          <w:bCs/>
          <w:sz w:val="22"/>
          <w:szCs w:val="22"/>
        </w:rPr>
      </w:pPr>
      <w:r w:rsidRPr="00BD7C77">
        <w:rPr>
          <w:b/>
          <w:bCs/>
          <w:sz w:val="22"/>
          <w:szCs w:val="22"/>
        </w:rPr>
        <w:t>Marketing Objectives</w:t>
      </w:r>
    </w:p>
    <w:p w14:paraId="301BB59C" w14:textId="5B24442E" w:rsidR="00AD7DF1" w:rsidRPr="00AD7DF1" w:rsidRDefault="00AD7DF1" w:rsidP="00AD7DF1">
      <w:pPr>
        <w:spacing w:after="0"/>
        <w:rPr>
          <w:sz w:val="22"/>
          <w:szCs w:val="22"/>
        </w:rPr>
      </w:pPr>
      <w:r w:rsidRPr="00AD7DF1">
        <w:rPr>
          <w:sz w:val="22"/>
          <w:szCs w:val="22"/>
        </w:rPr>
        <w:t>Wilbar</w:t>
      </w:r>
      <w:r>
        <w:rPr>
          <w:sz w:val="22"/>
          <w:szCs w:val="22"/>
        </w:rPr>
        <w:t xml:space="preserve"> Associates</w:t>
      </w:r>
      <w:r w:rsidRPr="00AD7DF1">
        <w:rPr>
          <w:sz w:val="22"/>
          <w:szCs w:val="22"/>
        </w:rPr>
        <w:t xml:space="preserve"> will:</w:t>
      </w:r>
    </w:p>
    <w:p w14:paraId="3212F571" w14:textId="77777777" w:rsidR="00AD7DF1" w:rsidRPr="00AD7DF1" w:rsidRDefault="00AD7DF1" w:rsidP="00AD7DF1">
      <w:pPr>
        <w:numPr>
          <w:ilvl w:val="0"/>
          <w:numId w:val="5"/>
        </w:numPr>
        <w:spacing w:after="0"/>
        <w:rPr>
          <w:sz w:val="22"/>
          <w:szCs w:val="22"/>
        </w:rPr>
      </w:pPr>
      <w:r w:rsidRPr="00AD7DF1">
        <w:rPr>
          <w:sz w:val="22"/>
          <w:szCs w:val="22"/>
        </w:rPr>
        <w:t>Promote a positive and recognisable brand image</w:t>
      </w:r>
    </w:p>
    <w:p w14:paraId="1C5ECCBD" w14:textId="77777777" w:rsidR="00AD7DF1" w:rsidRPr="00AD7DF1" w:rsidRDefault="00AD7DF1" w:rsidP="00AD7DF1">
      <w:pPr>
        <w:numPr>
          <w:ilvl w:val="0"/>
          <w:numId w:val="5"/>
        </w:numPr>
        <w:spacing w:after="0"/>
        <w:rPr>
          <w:sz w:val="22"/>
          <w:szCs w:val="22"/>
        </w:rPr>
      </w:pPr>
      <w:r w:rsidRPr="00AD7DF1">
        <w:rPr>
          <w:sz w:val="22"/>
          <w:szCs w:val="22"/>
        </w:rPr>
        <w:t>Raise awareness of who we are, what we do, and how to contact us</w:t>
      </w:r>
    </w:p>
    <w:p w14:paraId="7BE13C95" w14:textId="77777777" w:rsidR="00AD7DF1" w:rsidRPr="00AD7DF1" w:rsidRDefault="00AD7DF1" w:rsidP="00AD7DF1">
      <w:pPr>
        <w:numPr>
          <w:ilvl w:val="0"/>
          <w:numId w:val="5"/>
        </w:numPr>
        <w:spacing w:after="0"/>
        <w:rPr>
          <w:sz w:val="22"/>
          <w:szCs w:val="22"/>
        </w:rPr>
      </w:pPr>
      <w:r w:rsidRPr="00AD7DF1">
        <w:rPr>
          <w:sz w:val="22"/>
          <w:szCs w:val="22"/>
        </w:rPr>
        <w:t>Attract new customers, volunteers, and members</w:t>
      </w:r>
    </w:p>
    <w:p w14:paraId="0ADE1CBD" w14:textId="77777777" w:rsidR="00AD7DF1" w:rsidRPr="00AD7DF1" w:rsidRDefault="00AD7DF1" w:rsidP="00AD7DF1">
      <w:pPr>
        <w:numPr>
          <w:ilvl w:val="0"/>
          <w:numId w:val="5"/>
        </w:numPr>
        <w:spacing w:after="0"/>
        <w:rPr>
          <w:sz w:val="22"/>
          <w:szCs w:val="22"/>
        </w:rPr>
      </w:pPr>
      <w:r w:rsidRPr="00AD7DF1">
        <w:rPr>
          <w:sz w:val="22"/>
          <w:szCs w:val="22"/>
        </w:rPr>
        <w:t>Build strong relationships with customers, partners, and communities</w:t>
      </w:r>
    </w:p>
    <w:p w14:paraId="234C4D0C" w14:textId="77777777" w:rsidR="00BD7C77" w:rsidRDefault="00BD7C77" w:rsidP="00AD7DF1">
      <w:pPr>
        <w:spacing w:after="0"/>
        <w:rPr>
          <w:sz w:val="22"/>
          <w:szCs w:val="22"/>
        </w:rPr>
      </w:pPr>
    </w:p>
    <w:p w14:paraId="5C7E910F" w14:textId="77777777" w:rsidR="00BD7C77" w:rsidRDefault="00BD7C77" w:rsidP="00AD7DF1">
      <w:pPr>
        <w:spacing w:after="0"/>
        <w:rPr>
          <w:sz w:val="22"/>
          <w:szCs w:val="22"/>
        </w:rPr>
      </w:pPr>
    </w:p>
    <w:p w14:paraId="70E42671" w14:textId="77777777" w:rsidR="00BD7C77" w:rsidRDefault="00BD7C77" w:rsidP="00AD7DF1">
      <w:pPr>
        <w:spacing w:after="0"/>
        <w:rPr>
          <w:sz w:val="22"/>
          <w:szCs w:val="22"/>
        </w:rPr>
      </w:pPr>
    </w:p>
    <w:p w14:paraId="53CE364A" w14:textId="77777777" w:rsidR="00BD7C77" w:rsidRDefault="00BD7C77" w:rsidP="00AD7DF1">
      <w:pPr>
        <w:spacing w:after="0"/>
        <w:rPr>
          <w:sz w:val="22"/>
          <w:szCs w:val="22"/>
        </w:rPr>
      </w:pPr>
    </w:p>
    <w:p w14:paraId="57DC02E0" w14:textId="77777777" w:rsidR="00BD7C77" w:rsidRDefault="00BD7C77" w:rsidP="00AD7DF1">
      <w:pPr>
        <w:spacing w:after="0"/>
        <w:rPr>
          <w:sz w:val="22"/>
          <w:szCs w:val="22"/>
        </w:rPr>
      </w:pPr>
    </w:p>
    <w:p w14:paraId="466D3C41" w14:textId="77777777" w:rsidR="00BD7C77" w:rsidRDefault="00BD7C77" w:rsidP="00AD7DF1">
      <w:pPr>
        <w:spacing w:after="0"/>
        <w:rPr>
          <w:sz w:val="22"/>
          <w:szCs w:val="22"/>
        </w:rPr>
      </w:pPr>
    </w:p>
    <w:p w14:paraId="03BB9493" w14:textId="77777777" w:rsidR="00BD7C77" w:rsidRDefault="00BD7C77" w:rsidP="00AD7DF1">
      <w:pPr>
        <w:spacing w:after="0"/>
        <w:rPr>
          <w:sz w:val="22"/>
          <w:szCs w:val="22"/>
        </w:rPr>
      </w:pPr>
    </w:p>
    <w:p w14:paraId="7224AFBD" w14:textId="77777777" w:rsidR="00BD7C77" w:rsidRDefault="00BD7C77" w:rsidP="00AD7DF1">
      <w:pPr>
        <w:spacing w:after="0"/>
        <w:rPr>
          <w:sz w:val="22"/>
          <w:szCs w:val="22"/>
        </w:rPr>
      </w:pPr>
    </w:p>
    <w:p w14:paraId="5F772B60" w14:textId="77777777" w:rsidR="00BD7C77" w:rsidRDefault="00BD7C77" w:rsidP="00AD7DF1">
      <w:pPr>
        <w:spacing w:after="0"/>
        <w:rPr>
          <w:sz w:val="22"/>
          <w:szCs w:val="22"/>
        </w:rPr>
      </w:pPr>
    </w:p>
    <w:p w14:paraId="58B1CDAE" w14:textId="17834DCC" w:rsidR="00AD7DF1" w:rsidRPr="00BD7C77" w:rsidRDefault="00AD7DF1" w:rsidP="00AD7DF1">
      <w:pPr>
        <w:spacing w:after="0"/>
        <w:rPr>
          <w:b/>
          <w:bCs/>
          <w:sz w:val="22"/>
          <w:szCs w:val="22"/>
        </w:rPr>
      </w:pPr>
      <w:r w:rsidRPr="00BD7C77">
        <w:rPr>
          <w:b/>
          <w:bCs/>
          <w:sz w:val="22"/>
          <w:szCs w:val="22"/>
        </w:rPr>
        <w:t>Target Audiences</w:t>
      </w:r>
    </w:p>
    <w:p w14:paraId="382C6E25" w14:textId="77777777" w:rsidR="00AD7DF1" w:rsidRPr="00AD7DF1" w:rsidRDefault="00AD7DF1" w:rsidP="00AD7DF1">
      <w:pPr>
        <w:spacing w:after="0"/>
        <w:rPr>
          <w:sz w:val="22"/>
          <w:szCs w:val="22"/>
        </w:rPr>
      </w:pPr>
      <w:r w:rsidRPr="00AD7DF1">
        <w:rPr>
          <w:sz w:val="22"/>
          <w:szCs w:val="22"/>
        </w:rPr>
        <w:t>Our primary audience is the general public, ensuring awareness of our services.</w:t>
      </w:r>
      <w:r w:rsidRPr="00AD7DF1">
        <w:rPr>
          <w:sz w:val="22"/>
          <w:szCs w:val="22"/>
        </w:rPr>
        <w:br/>
        <w:t>Other key audiences include:</w:t>
      </w:r>
    </w:p>
    <w:p w14:paraId="1B8A446E" w14:textId="77777777" w:rsidR="00AD7DF1" w:rsidRPr="00AD7DF1" w:rsidRDefault="00AD7DF1" w:rsidP="00AD7DF1">
      <w:pPr>
        <w:numPr>
          <w:ilvl w:val="0"/>
          <w:numId w:val="6"/>
        </w:numPr>
        <w:spacing w:after="0"/>
        <w:rPr>
          <w:sz w:val="22"/>
          <w:szCs w:val="22"/>
        </w:rPr>
      </w:pPr>
      <w:r w:rsidRPr="00AD7DF1">
        <w:rPr>
          <w:sz w:val="22"/>
          <w:szCs w:val="22"/>
        </w:rPr>
        <w:lastRenderedPageBreak/>
        <w:t>Specific demographic or “hard-to-reach” groups (e.g., ethnic minorities, people with disabilities, young or older people, and new communities)</w:t>
      </w:r>
    </w:p>
    <w:p w14:paraId="226FF246" w14:textId="77777777" w:rsidR="00AD7DF1" w:rsidRPr="00AD7DF1" w:rsidRDefault="00AD7DF1" w:rsidP="00AD7DF1">
      <w:pPr>
        <w:numPr>
          <w:ilvl w:val="0"/>
          <w:numId w:val="6"/>
        </w:numPr>
        <w:spacing w:after="0"/>
        <w:rPr>
          <w:sz w:val="22"/>
          <w:szCs w:val="22"/>
        </w:rPr>
      </w:pPr>
      <w:r w:rsidRPr="00AD7DF1">
        <w:rPr>
          <w:sz w:val="22"/>
          <w:szCs w:val="22"/>
        </w:rPr>
        <w:t>Existing subscribers and supporters</w:t>
      </w:r>
    </w:p>
    <w:p w14:paraId="3BAE37C1" w14:textId="77777777" w:rsidR="00AD7DF1" w:rsidRDefault="00AD7DF1" w:rsidP="00AD7DF1">
      <w:pPr>
        <w:numPr>
          <w:ilvl w:val="0"/>
          <w:numId w:val="6"/>
        </w:numPr>
        <w:spacing w:after="0"/>
        <w:rPr>
          <w:sz w:val="22"/>
          <w:szCs w:val="22"/>
        </w:rPr>
      </w:pPr>
      <w:r w:rsidRPr="00AD7DF1">
        <w:rPr>
          <w:sz w:val="22"/>
          <w:szCs w:val="22"/>
        </w:rPr>
        <w:t>Elected representatives (MPs, MEPs, Councillors)</w:t>
      </w:r>
    </w:p>
    <w:p w14:paraId="07A8BA97" w14:textId="77777777" w:rsidR="00BD7C77" w:rsidRDefault="00BD7C77" w:rsidP="00AD7DF1">
      <w:pPr>
        <w:spacing w:after="0"/>
        <w:rPr>
          <w:sz w:val="22"/>
          <w:szCs w:val="22"/>
        </w:rPr>
      </w:pPr>
    </w:p>
    <w:p w14:paraId="259DB62A" w14:textId="79C7F902" w:rsidR="00AD7DF1" w:rsidRPr="00AD7DF1" w:rsidRDefault="00AD7DF1" w:rsidP="00AD7DF1">
      <w:pPr>
        <w:spacing w:after="0"/>
        <w:rPr>
          <w:sz w:val="22"/>
          <w:szCs w:val="22"/>
        </w:rPr>
      </w:pPr>
      <w:r w:rsidRPr="00AD7DF1">
        <w:rPr>
          <w:sz w:val="22"/>
          <w:szCs w:val="22"/>
        </w:rPr>
        <w:t xml:space="preserve">Wilbar </w:t>
      </w:r>
      <w:r w:rsidR="001B2810">
        <w:rPr>
          <w:sz w:val="22"/>
          <w:szCs w:val="22"/>
        </w:rPr>
        <w:t xml:space="preserve">Associates </w:t>
      </w:r>
      <w:r w:rsidRPr="00AD7DF1">
        <w:rPr>
          <w:sz w:val="22"/>
          <w:szCs w:val="22"/>
        </w:rPr>
        <w:t>will review data regularly to identify emerging groups and adapt outreach accordingly.</w:t>
      </w:r>
    </w:p>
    <w:p w14:paraId="73A4E092" w14:textId="77777777" w:rsidR="00AD7DF1" w:rsidRDefault="00AD7DF1" w:rsidP="00731B44">
      <w:pPr>
        <w:spacing w:after="0"/>
        <w:rPr>
          <w:sz w:val="22"/>
          <w:szCs w:val="22"/>
        </w:rPr>
      </w:pPr>
    </w:p>
    <w:p w14:paraId="5183C97B" w14:textId="31BA1BAA" w:rsidR="00AD7DF1" w:rsidRPr="00BD7C77" w:rsidRDefault="00AD7DF1" w:rsidP="00AD7DF1">
      <w:pPr>
        <w:spacing w:after="0"/>
        <w:rPr>
          <w:b/>
          <w:bCs/>
          <w:sz w:val="22"/>
          <w:szCs w:val="22"/>
        </w:rPr>
      </w:pPr>
      <w:r w:rsidRPr="00BD7C77">
        <w:rPr>
          <w:b/>
          <w:bCs/>
          <w:sz w:val="22"/>
          <w:szCs w:val="22"/>
        </w:rPr>
        <w:t>Communication Methods</w:t>
      </w:r>
    </w:p>
    <w:p w14:paraId="25428E91" w14:textId="77777777" w:rsidR="001B2810" w:rsidRDefault="00AD7DF1" w:rsidP="00AD7DF1">
      <w:pPr>
        <w:spacing w:after="0"/>
        <w:rPr>
          <w:sz w:val="22"/>
          <w:szCs w:val="22"/>
        </w:rPr>
      </w:pPr>
      <w:r w:rsidRPr="00AD7DF1">
        <w:rPr>
          <w:sz w:val="22"/>
          <w:szCs w:val="22"/>
        </w:rPr>
        <w:t>Website – Primary source of information about services, news, and events.</w:t>
      </w:r>
      <w:r w:rsidRPr="00AD7DF1">
        <w:rPr>
          <w:sz w:val="22"/>
          <w:szCs w:val="22"/>
        </w:rPr>
        <w:br/>
        <w:t xml:space="preserve">Face-to-Face Engagement – Targeted outreach </w:t>
      </w:r>
      <w:r>
        <w:rPr>
          <w:sz w:val="22"/>
          <w:szCs w:val="22"/>
        </w:rPr>
        <w:t xml:space="preserve">to </w:t>
      </w:r>
      <w:r w:rsidR="001B2810">
        <w:rPr>
          <w:sz w:val="22"/>
          <w:szCs w:val="22"/>
        </w:rPr>
        <w:t>specific groups and areas, and have direct contact with members of the public. Locations to include;</w:t>
      </w:r>
    </w:p>
    <w:p w14:paraId="7F5B73FA" w14:textId="3C592B97" w:rsidR="001B2810" w:rsidRDefault="001B2810" w:rsidP="001B2810">
      <w:pPr>
        <w:pStyle w:val="ListParagraph"/>
        <w:numPr>
          <w:ilvl w:val="0"/>
          <w:numId w:val="9"/>
        </w:numPr>
        <w:spacing w:after="0"/>
        <w:rPr>
          <w:sz w:val="22"/>
          <w:szCs w:val="22"/>
        </w:rPr>
      </w:pPr>
      <w:r>
        <w:rPr>
          <w:sz w:val="22"/>
          <w:szCs w:val="22"/>
        </w:rPr>
        <w:t>Town Centres</w:t>
      </w:r>
    </w:p>
    <w:p w14:paraId="047E8F25" w14:textId="1B8D915D" w:rsidR="001B2810" w:rsidRDefault="001B2810" w:rsidP="001B2810">
      <w:pPr>
        <w:pStyle w:val="ListParagraph"/>
        <w:numPr>
          <w:ilvl w:val="0"/>
          <w:numId w:val="9"/>
        </w:numPr>
        <w:spacing w:after="0"/>
        <w:rPr>
          <w:sz w:val="22"/>
          <w:szCs w:val="22"/>
        </w:rPr>
      </w:pPr>
      <w:r>
        <w:rPr>
          <w:sz w:val="22"/>
          <w:szCs w:val="22"/>
        </w:rPr>
        <w:t>School receptions</w:t>
      </w:r>
    </w:p>
    <w:p w14:paraId="3EED37B5" w14:textId="223D0A89" w:rsidR="001B2810" w:rsidRDefault="001B2810" w:rsidP="001B2810">
      <w:pPr>
        <w:pStyle w:val="ListParagraph"/>
        <w:numPr>
          <w:ilvl w:val="0"/>
          <w:numId w:val="9"/>
        </w:numPr>
        <w:spacing w:after="0"/>
        <w:rPr>
          <w:sz w:val="22"/>
          <w:szCs w:val="22"/>
        </w:rPr>
      </w:pPr>
      <w:r>
        <w:rPr>
          <w:sz w:val="22"/>
          <w:szCs w:val="22"/>
        </w:rPr>
        <w:t>Leaflet stands in partner organisations or receptions</w:t>
      </w:r>
    </w:p>
    <w:p w14:paraId="47D56101" w14:textId="7033694C" w:rsidR="00AD7DF1" w:rsidRPr="001B2810" w:rsidRDefault="00AD7DF1" w:rsidP="001B2810">
      <w:pPr>
        <w:spacing w:after="0"/>
        <w:rPr>
          <w:sz w:val="22"/>
          <w:szCs w:val="22"/>
        </w:rPr>
      </w:pPr>
      <w:r w:rsidRPr="001B2810">
        <w:rPr>
          <w:sz w:val="22"/>
          <w:szCs w:val="22"/>
        </w:rPr>
        <w:t>Supporting Channels:</w:t>
      </w:r>
    </w:p>
    <w:p w14:paraId="5FF73DBA" w14:textId="77777777" w:rsidR="00AD7DF1" w:rsidRPr="00AD7DF1" w:rsidRDefault="00AD7DF1" w:rsidP="00AD7DF1">
      <w:pPr>
        <w:numPr>
          <w:ilvl w:val="0"/>
          <w:numId w:val="7"/>
        </w:numPr>
        <w:spacing w:after="0"/>
        <w:rPr>
          <w:sz w:val="22"/>
          <w:szCs w:val="22"/>
        </w:rPr>
      </w:pPr>
      <w:r w:rsidRPr="00AD7DF1">
        <w:rPr>
          <w:sz w:val="22"/>
          <w:szCs w:val="22"/>
        </w:rPr>
        <w:t>Social media (Twitter, Instagram, Facebook)</w:t>
      </w:r>
    </w:p>
    <w:p w14:paraId="2B07E4A9" w14:textId="77777777" w:rsidR="00AD7DF1" w:rsidRPr="00AD7DF1" w:rsidRDefault="00AD7DF1" w:rsidP="00AD7DF1">
      <w:pPr>
        <w:numPr>
          <w:ilvl w:val="0"/>
          <w:numId w:val="7"/>
        </w:numPr>
        <w:spacing w:after="0"/>
        <w:rPr>
          <w:sz w:val="22"/>
          <w:szCs w:val="22"/>
        </w:rPr>
      </w:pPr>
      <w:r w:rsidRPr="00AD7DF1">
        <w:rPr>
          <w:sz w:val="22"/>
          <w:szCs w:val="22"/>
        </w:rPr>
        <w:t>Monthly newsletters or bulletins</w:t>
      </w:r>
    </w:p>
    <w:p w14:paraId="68DBE3EF" w14:textId="77777777" w:rsidR="00AD7DF1" w:rsidRPr="00AD7DF1" w:rsidRDefault="00AD7DF1" w:rsidP="00AD7DF1">
      <w:pPr>
        <w:numPr>
          <w:ilvl w:val="0"/>
          <w:numId w:val="7"/>
        </w:numPr>
        <w:spacing w:after="0"/>
        <w:rPr>
          <w:sz w:val="22"/>
          <w:szCs w:val="22"/>
        </w:rPr>
      </w:pPr>
      <w:r w:rsidRPr="00AD7DF1">
        <w:rPr>
          <w:sz w:val="22"/>
          <w:szCs w:val="22"/>
        </w:rPr>
        <w:t>Targeted email campaigns to identified audiences</w:t>
      </w:r>
    </w:p>
    <w:p w14:paraId="7F98BD38" w14:textId="77777777" w:rsidR="00AD7DF1" w:rsidRDefault="00AD7DF1" w:rsidP="00731B44">
      <w:pPr>
        <w:spacing w:after="0"/>
        <w:rPr>
          <w:sz w:val="22"/>
          <w:szCs w:val="22"/>
        </w:rPr>
      </w:pPr>
    </w:p>
    <w:p w14:paraId="55F4769E" w14:textId="67B1E2B4" w:rsidR="00AD7DF1" w:rsidRPr="00BD7C77" w:rsidRDefault="00AD7DF1" w:rsidP="00AD7DF1">
      <w:pPr>
        <w:spacing w:after="0"/>
        <w:rPr>
          <w:b/>
          <w:bCs/>
          <w:sz w:val="22"/>
          <w:szCs w:val="22"/>
        </w:rPr>
      </w:pPr>
      <w:r w:rsidRPr="00BD7C77">
        <w:rPr>
          <w:b/>
          <w:bCs/>
          <w:sz w:val="22"/>
          <w:szCs w:val="22"/>
        </w:rPr>
        <w:t>Monitoring and Evaluation</w:t>
      </w:r>
    </w:p>
    <w:p w14:paraId="17C44556" w14:textId="48BDB4A3" w:rsidR="001B2810" w:rsidRPr="00AD7DF1" w:rsidRDefault="00AD7DF1" w:rsidP="00AD7DF1">
      <w:pPr>
        <w:spacing w:after="0"/>
        <w:rPr>
          <w:sz w:val="22"/>
          <w:szCs w:val="22"/>
        </w:rPr>
      </w:pPr>
      <w:r w:rsidRPr="00AD7DF1">
        <w:rPr>
          <w:sz w:val="22"/>
          <w:szCs w:val="22"/>
        </w:rPr>
        <w:t xml:space="preserve">Wilbar </w:t>
      </w:r>
      <w:r w:rsidR="001B2810">
        <w:rPr>
          <w:sz w:val="22"/>
          <w:szCs w:val="22"/>
        </w:rPr>
        <w:t>Associates</w:t>
      </w:r>
      <w:r w:rsidRPr="00AD7DF1">
        <w:rPr>
          <w:sz w:val="22"/>
          <w:szCs w:val="22"/>
        </w:rPr>
        <w:t xml:space="preserve"> will</w:t>
      </w:r>
      <w:r w:rsidR="001B2810">
        <w:rPr>
          <w:sz w:val="22"/>
          <w:szCs w:val="22"/>
        </w:rPr>
        <w:t>:</w:t>
      </w:r>
    </w:p>
    <w:p w14:paraId="64AD4FC1" w14:textId="77777777" w:rsidR="00AD7DF1" w:rsidRPr="00AD7DF1" w:rsidRDefault="00AD7DF1" w:rsidP="00AD7DF1">
      <w:pPr>
        <w:numPr>
          <w:ilvl w:val="0"/>
          <w:numId w:val="8"/>
        </w:numPr>
        <w:spacing w:after="0"/>
        <w:rPr>
          <w:sz w:val="22"/>
          <w:szCs w:val="22"/>
        </w:rPr>
      </w:pPr>
      <w:r w:rsidRPr="00AD7DF1">
        <w:rPr>
          <w:sz w:val="22"/>
          <w:szCs w:val="22"/>
        </w:rPr>
        <w:t>Regularly review marketing performance against objectives</w:t>
      </w:r>
    </w:p>
    <w:p w14:paraId="67D9884F" w14:textId="77777777" w:rsidR="00AD7DF1" w:rsidRPr="00AD7DF1" w:rsidRDefault="00AD7DF1" w:rsidP="00AD7DF1">
      <w:pPr>
        <w:numPr>
          <w:ilvl w:val="0"/>
          <w:numId w:val="8"/>
        </w:numPr>
        <w:spacing w:after="0"/>
        <w:rPr>
          <w:sz w:val="22"/>
          <w:szCs w:val="22"/>
        </w:rPr>
      </w:pPr>
      <w:r w:rsidRPr="00AD7DF1">
        <w:rPr>
          <w:sz w:val="22"/>
          <w:szCs w:val="22"/>
        </w:rPr>
        <w:t>Measure success in reaching target audiences</w:t>
      </w:r>
    </w:p>
    <w:p w14:paraId="1F4F3FCE" w14:textId="77777777" w:rsidR="00AD7DF1" w:rsidRPr="00AD7DF1" w:rsidRDefault="00AD7DF1" w:rsidP="00AD7DF1">
      <w:pPr>
        <w:numPr>
          <w:ilvl w:val="0"/>
          <w:numId w:val="8"/>
        </w:numPr>
        <w:spacing w:after="0"/>
        <w:rPr>
          <w:sz w:val="22"/>
          <w:szCs w:val="22"/>
        </w:rPr>
      </w:pPr>
      <w:r w:rsidRPr="00AD7DF1">
        <w:rPr>
          <w:sz w:val="22"/>
          <w:szCs w:val="22"/>
        </w:rPr>
        <w:t>Evaluate the effectiveness of communication methods</w:t>
      </w:r>
    </w:p>
    <w:p w14:paraId="3E4F740A" w14:textId="711F0DE5" w:rsidR="00AD7DF1" w:rsidRPr="00AD7DF1" w:rsidRDefault="00AD7DF1" w:rsidP="00AD7DF1">
      <w:pPr>
        <w:numPr>
          <w:ilvl w:val="0"/>
          <w:numId w:val="8"/>
        </w:numPr>
        <w:spacing w:after="0"/>
        <w:rPr>
          <w:sz w:val="22"/>
          <w:szCs w:val="22"/>
        </w:rPr>
      </w:pPr>
      <w:r w:rsidRPr="00AD7DF1">
        <w:rPr>
          <w:sz w:val="22"/>
          <w:szCs w:val="22"/>
        </w:rPr>
        <w:t xml:space="preserve">Review the overall strategy </w:t>
      </w:r>
      <w:r w:rsidR="001B2810">
        <w:rPr>
          <w:sz w:val="22"/>
          <w:szCs w:val="22"/>
        </w:rPr>
        <w:t xml:space="preserve">twice </w:t>
      </w:r>
      <w:r w:rsidRPr="00AD7DF1">
        <w:rPr>
          <w:sz w:val="22"/>
          <w:szCs w:val="22"/>
        </w:rPr>
        <w:t>annually and update the action plan on a rolling basis</w:t>
      </w:r>
    </w:p>
    <w:p w14:paraId="5BC4FA73" w14:textId="77777777" w:rsidR="00AD7DF1" w:rsidRDefault="00AD7DF1" w:rsidP="00731B44">
      <w:pPr>
        <w:spacing w:after="0"/>
        <w:rPr>
          <w:sz w:val="22"/>
          <w:szCs w:val="22"/>
        </w:rPr>
      </w:pPr>
    </w:p>
    <w:p w14:paraId="0FA004CE" w14:textId="2C6A65B9" w:rsidR="00BD7C77" w:rsidRPr="00BD7C77" w:rsidRDefault="00BD7C77" w:rsidP="00731B44">
      <w:pPr>
        <w:spacing w:after="0"/>
        <w:rPr>
          <w:sz w:val="22"/>
          <w:szCs w:val="22"/>
        </w:rPr>
      </w:pPr>
      <w:r w:rsidRPr="00BD7C77">
        <w:rPr>
          <w:sz w:val="22"/>
          <w:szCs w:val="22"/>
        </w:rPr>
        <w:t xml:space="preserve">Adhering to this policy ensures Wilbar Associates communicates clearly, ethically, and in line with our goals. This strengthens our reputation and supports meaningful engagement with the </w:t>
      </w:r>
      <w:r>
        <w:rPr>
          <w:sz w:val="22"/>
          <w:szCs w:val="22"/>
        </w:rPr>
        <w:t>clients</w:t>
      </w:r>
      <w:r w:rsidRPr="00BD7C77">
        <w:rPr>
          <w:sz w:val="22"/>
          <w:szCs w:val="22"/>
        </w:rPr>
        <w:t xml:space="preserve"> we serve.</w:t>
      </w:r>
    </w:p>
    <w:sectPr w:rsidR="00BD7C77" w:rsidRPr="00BD7C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0858" w14:textId="77777777" w:rsidR="00FE7A33" w:rsidRDefault="00FE7A33" w:rsidP="00422F3E">
      <w:pPr>
        <w:spacing w:after="0" w:line="240" w:lineRule="auto"/>
      </w:pPr>
      <w:r>
        <w:separator/>
      </w:r>
    </w:p>
  </w:endnote>
  <w:endnote w:type="continuationSeparator" w:id="0">
    <w:p w14:paraId="214F5FBC" w14:textId="77777777" w:rsidR="00FE7A33" w:rsidRDefault="00FE7A33" w:rsidP="0042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A57E" w14:textId="77777777" w:rsidR="00FE7A33" w:rsidRDefault="00FE7A33" w:rsidP="00422F3E">
      <w:pPr>
        <w:spacing w:after="0" w:line="240" w:lineRule="auto"/>
      </w:pPr>
      <w:r>
        <w:separator/>
      </w:r>
    </w:p>
  </w:footnote>
  <w:footnote w:type="continuationSeparator" w:id="0">
    <w:p w14:paraId="49F65116" w14:textId="77777777" w:rsidR="00FE7A33" w:rsidRDefault="00FE7A33" w:rsidP="0042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07EB" w14:textId="76FE1A71" w:rsidR="00422F3E" w:rsidRDefault="00422F3E">
    <w:pPr>
      <w:pStyle w:val="Header"/>
    </w:pPr>
    <w:r>
      <w:rPr>
        <w:noProof/>
        <w:lang w:eastAsia="en-GB"/>
      </w:rPr>
      <w:drawing>
        <wp:anchor distT="0" distB="0" distL="114300" distR="114300" simplePos="0" relativeHeight="251659264" behindDoc="0" locked="0" layoutInCell="1" allowOverlap="1" wp14:anchorId="0D495EC9" wp14:editId="7EF24B1E">
          <wp:simplePos x="0" y="0"/>
          <wp:positionH relativeFrom="margin">
            <wp:align>center</wp:align>
          </wp:positionH>
          <wp:positionV relativeFrom="paragraph">
            <wp:posOffset>-252095</wp:posOffset>
          </wp:positionV>
          <wp:extent cx="4599940" cy="1409700"/>
          <wp:effectExtent l="0" t="0" r="0" b="0"/>
          <wp:wrapSquare wrapText="bothSides"/>
          <wp:docPr id="718148896" name="Picture 28"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48896" name="Picture 28" descr="A white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9994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5F6"/>
    <w:multiLevelType w:val="hybridMultilevel"/>
    <w:tmpl w:val="46CE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12144"/>
    <w:multiLevelType w:val="multilevel"/>
    <w:tmpl w:val="DBB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67D5E"/>
    <w:multiLevelType w:val="multilevel"/>
    <w:tmpl w:val="899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0CF3"/>
    <w:multiLevelType w:val="multilevel"/>
    <w:tmpl w:val="11B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A1C29"/>
    <w:multiLevelType w:val="multilevel"/>
    <w:tmpl w:val="0A90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C1757"/>
    <w:multiLevelType w:val="multilevel"/>
    <w:tmpl w:val="1DA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A420A"/>
    <w:multiLevelType w:val="multilevel"/>
    <w:tmpl w:val="871E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9688B"/>
    <w:multiLevelType w:val="multilevel"/>
    <w:tmpl w:val="C22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B35F6"/>
    <w:multiLevelType w:val="multilevel"/>
    <w:tmpl w:val="D76E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46334">
    <w:abstractNumId w:val="2"/>
  </w:num>
  <w:num w:numId="2" w16cid:durableId="1307589327">
    <w:abstractNumId w:val="7"/>
  </w:num>
  <w:num w:numId="3" w16cid:durableId="1504972739">
    <w:abstractNumId w:val="8"/>
  </w:num>
  <w:num w:numId="4" w16cid:durableId="2113895402">
    <w:abstractNumId w:val="6"/>
  </w:num>
  <w:num w:numId="5" w16cid:durableId="976881066">
    <w:abstractNumId w:val="3"/>
  </w:num>
  <w:num w:numId="6" w16cid:durableId="572131490">
    <w:abstractNumId w:val="5"/>
  </w:num>
  <w:num w:numId="7" w16cid:durableId="876892503">
    <w:abstractNumId w:val="1"/>
  </w:num>
  <w:num w:numId="8" w16cid:durableId="1330206697">
    <w:abstractNumId w:val="4"/>
  </w:num>
  <w:num w:numId="9" w16cid:durableId="90433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3E"/>
    <w:rsid w:val="0014359B"/>
    <w:rsid w:val="001B2810"/>
    <w:rsid w:val="00422F3E"/>
    <w:rsid w:val="00556B40"/>
    <w:rsid w:val="00731B44"/>
    <w:rsid w:val="00A64978"/>
    <w:rsid w:val="00AD7DF1"/>
    <w:rsid w:val="00B30121"/>
    <w:rsid w:val="00BD7C77"/>
    <w:rsid w:val="00E62E53"/>
    <w:rsid w:val="00FE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A497"/>
  <w15:chartTrackingRefBased/>
  <w15:docId w15:val="{2B709216-13E6-4370-AAE6-67C45D13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F3E"/>
    <w:rPr>
      <w:rFonts w:eastAsiaTheme="majorEastAsia" w:cstheme="majorBidi"/>
      <w:color w:val="272727" w:themeColor="text1" w:themeTint="D8"/>
    </w:rPr>
  </w:style>
  <w:style w:type="paragraph" w:styleId="Title">
    <w:name w:val="Title"/>
    <w:basedOn w:val="Normal"/>
    <w:next w:val="Normal"/>
    <w:link w:val="TitleChar"/>
    <w:uiPriority w:val="10"/>
    <w:qFormat/>
    <w:rsid w:val="0042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F3E"/>
    <w:pPr>
      <w:spacing w:before="160"/>
      <w:jc w:val="center"/>
    </w:pPr>
    <w:rPr>
      <w:i/>
      <w:iCs/>
      <w:color w:val="404040" w:themeColor="text1" w:themeTint="BF"/>
    </w:rPr>
  </w:style>
  <w:style w:type="character" w:customStyle="1" w:styleId="QuoteChar">
    <w:name w:val="Quote Char"/>
    <w:basedOn w:val="DefaultParagraphFont"/>
    <w:link w:val="Quote"/>
    <w:uiPriority w:val="29"/>
    <w:rsid w:val="00422F3E"/>
    <w:rPr>
      <w:i/>
      <w:iCs/>
      <w:color w:val="404040" w:themeColor="text1" w:themeTint="BF"/>
    </w:rPr>
  </w:style>
  <w:style w:type="paragraph" w:styleId="ListParagraph">
    <w:name w:val="List Paragraph"/>
    <w:basedOn w:val="Normal"/>
    <w:uiPriority w:val="34"/>
    <w:qFormat/>
    <w:rsid w:val="00422F3E"/>
    <w:pPr>
      <w:ind w:left="720"/>
      <w:contextualSpacing/>
    </w:pPr>
  </w:style>
  <w:style w:type="character" w:styleId="IntenseEmphasis">
    <w:name w:val="Intense Emphasis"/>
    <w:basedOn w:val="DefaultParagraphFont"/>
    <w:uiPriority w:val="21"/>
    <w:qFormat/>
    <w:rsid w:val="00422F3E"/>
    <w:rPr>
      <w:i/>
      <w:iCs/>
      <w:color w:val="0F4761" w:themeColor="accent1" w:themeShade="BF"/>
    </w:rPr>
  </w:style>
  <w:style w:type="paragraph" w:styleId="IntenseQuote">
    <w:name w:val="Intense Quote"/>
    <w:basedOn w:val="Normal"/>
    <w:next w:val="Normal"/>
    <w:link w:val="IntenseQuoteChar"/>
    <w:uiPriority w:val="30"/>
    <w:qFormat/>
    <w:rsid w:val="00422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F3E"/>
    <w:rPr>
      <w:i/>
      <w:iCs/>
      <w:color w:val="0F4761" w:themeColor="accent1" w:themeShade="BF"/>
    </w:rPr>
  </w:style>
  <w:style w:type="character" w:styleId="IntenseReference">
    <w:name w:val="Intense Reference"/>
    <w:basedOn w:val="DefaultParagraphFont"/>
    <w:uiPriority w:val="32"/>
    <w:qFormat/>
    <w:rsid w:val="00422F3E"/>
    <w:rPr>
      <w:b/>
      <w:bCs/>
      <w:smallCaps/>
      <w:color w:val="0F4761" w:themeColor="accent1" w:themeShade="BF"/>
      <w:spacing w:val="5"/>
    </w:rPr>
  </w:style>
  <w:style w:type="paragraph" w:styleId="Header">
    <w:name w:val="header"/>
    <w:basedOn w:val="Normal"/>
    <w:link w:val="HeaderChar"/>
    <w:uiPriority w:val="99"/>
    <w:unhideWhenUsed/>
    <w:rsid w:val="00422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F3E"/>
  </w:style>
  <w:style w:type="paragraph" w:styleId="Footer">
    <w:name w:val="footer"/>
    <w:basedOn w:val="Normal"/>
    <w:link w:val="FooterChar"/>
    <w:uiPriority w:val="99"/>
    <w:unhideWhenUsed/>
    <w:rsid w:val="00422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6DCAE450EB74392A238E5A48CC681" ma:contentTypeVersion="13" ma:contentTypeDescription="Create a new document." ma:contentTypeScope="" ma:versionID="180721cf034723b21b488bc441bbc7ea">
  <xsd:schema xmlns:xsd="http://www.w3.org/2001/XMLSchema" xmlns:xs="http://www.w3.org/2001/XMLSchema" xmlns:p="http://schemas.microsoft.com/office/2006/metadata/properties" xmlns:ns2="243089fe-5f03-4b87-8e8d-c01f5c270194" xmlns:ns3="84dadd27-762d-4235-9911-aa3b0b5225c2" targetNamespace="http://schemas.microsoft.com/office/2006/metadata/properties" ma:root="true" ma:fieldsID="47856b77480374a4df8a90e774f1c746" ns2:_="" ns3:_="">
    <xsd:import namespace="243089fe-5f03-4b87-8e8d-c01f5c270194"/>
    <xsd:import namespace="84dadd27-762d-4235-9911-aa3b0b522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089fe-5f03-4b87-8e8d-c01f5c27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cbd05-8536-4bdf-bc5b-771db639487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add27-762d-4235-9911-aa3b0b522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4b00db-f3fd-4f40-b47d-216705b2351a}" ma:internalName="TaxCatchAll" ma:showField="CatchAllData" ma:web="84dadd27-762d-4235-9911-aa3b0b522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add27-762d-4235-9911-aa3b0b5225c2" xsi:nil="true"/>
    <lcf76f155ced4ddcb4097134ff3c332f xmlns="243089fe-5f03-4b87-8e8d-c01f5c270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58B2D-B405-46CB-B92A-E46B332576EA}"/>
</file>

<file path=customXml/itemProps2.xml><?xml version="1.0" encoding="utf-8"?>
<ds:datastoreItem xmlns:ds="http://schemas.openxmlformats.org/officeDocument/2006/customXml" ds:itemID="{AB87C69F-929D-4969-8B90-F9A2E5FCCCEB}"/>
</file>

<file path=customXml/itemProps3.xml><?xml version="1.0" encoding="utf-8"?>
<ds:datastoreItem xmlns:ds="http://schemas.openxmlformats.org/officeDocument/2006/customXml" ds:itemID="{2A5A8534-7523-4A3E-85DA-51C3614817B3}"/>
</file>

<file path=docProps/app.xml><?xml version="1.0" encoding="utf-8"?>
<Properties xmlns="http://schemas.openxmlformats.org/officeDocument/2006/extended-properties" xmlns:vt="http://schemas.openxmlformats.org/officeDocument/2006/docPropsVTypes">
  <Template>Normal</Template>
  <TotalTime>2367</TotalTime>
  <Pages>2</Pages>
  <Words>411</Words>
  <Characters>2579</Characters>
  <Application>Microsoft Office Word</Application>
  <DocSecurity>0</DocSecurity>
  <Lines>368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Wilbar Associates - Training</dc:creator>
  <cp:keywords/>
  <dc:description/>
  <cp:lastModifiedBy>Wilbar Associates - Training</cp:lastModifiedBy>
  <cp:revision>1</cp:revision>
  <dcterms:created xsi:type="dcterms:W3CDTF">2025-11-12T14:15:00Z</dcterms:created>
  <dcterms:modified xsi:type="dcterms:W3CDTF">2025-11-17T14:06:00Z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2025-11-17T14:05:41Z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4e43010c-fdca-45d1-94e6-74e5f5f14567</vt:lpwstr>
  </property>
  <property fmtid="{D5CDD505-2E9C-101B-9397-08002B2CF9AE}" pid="7" name="MSIP_Label_defa4170-0d19-0005-0004-bc88714345d2_ActionId">
    <vt:lpwstr>f71938fb-6ba9-48f6-b1d8-23cfcc092e98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0x010100B0D6DCAE450EB74392A238E5A48CC681</vt:lpwstr>
  </property>
</Properties>
</file>